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105" w:rsidRDefault="00DE1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Статистика рассмотрения обращений граждан за 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02762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A0105" w:rsidRDefault="00DE1B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27627" w:rsidRPr="00027627">
        <w:rPr>
          <w:rFonts w:ascii="Times New Roman" w:hAnsi="Times New Roman" w:cs="Times New Roman"/>
          <w:sz w:val="28"/>
          <w:szCs w:val="28"/>
        </w:rPr>
        <w:t xml:space="preserve">I квартал 2026 года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строительства Нижегородской области рассмотрено </w:t>
      </w:r>
      <w:r w:rsidR="00027627">
        <w:rPr>
          <w:rFonts w:ascii="Times New Roman" w:hAnsi="Times New Roman" w:cs="Times New Roman"/>
          <w:sz w:val="28"/>
          <w:szCs w:val="28"/>
        </w:rPr>
        <w:t>214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в том числе </w:t>
      </w:r>
      <w:r w:rsidR="00027627">
        <w:rPr>
          <w:rFonts w:ascii="Times New Roman" w:hAnsi="Times New Roman" w:cs="Times New Roman"/>
          <w:sz w:val="28"/>
          <w:szCs w:val="28"/>
        </w:rPr>
        <w:t>162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762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поступивши</w:t>
      </w:r>
      <w:r w:rsidR="0002762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адрес Губернатора 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Нижегородской области. </w:t>
      </w:r>
      <w:r w:rsidR="00027627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762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было рассмотрено уполномоченным лицом министерства в ходе личного приема граждан.</w:t>
      </w:r>
    </w:p>
    <w:p w:rsidR="00AA0105" w:rsidRDefault="00DE1BD3" w:rsidP="000276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аналогичный период 202</w:t>
      </w:r>
      <w:r w:rsidR="000276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было рассмотрено 2</w:t>
      </w:r>
      <w:r w:rsidR="0002762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обращений, в числе которых 1</w:t>
      </w:r>
      <w:r w:rsidR="00027627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 xml:space="preserve"> обращений в адрес Губернатора и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Нижегородской области. </w:t>
      </w:r>
    </w:p>
    <w:p w:rsidR="00AA0105" w:rsidRDefault="00DE1B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 высокая активность заявителей отмечена по вопросу «переселение 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подвалов, бараков, коммуналок, общежитий, аварийных домов, ветхого жилья, санитарно-защитной зоны» - 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64,2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общего количества обращений. </w:t>
      </w:r>
    </w:p>
    <w:p w:rsidR="00027627" w:rsidRDefault="00DE1BD3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число наиболее распространенных вошли обращения по вопросам 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прохождения процедур по получению разрешений на капитальное строительство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» – 25,9% и «жилищное строительство» – 7,4%</w:t>
      </w:r>
    </w:p>
    <w:p w:rsidR="00AA0105" w:rsidRDefault="00DE1BD3" w:rsidP="000276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Активность заявителей также отмечена по 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вопросу </w:t>
      </w:r>
      <w:r w:rsidR="00027627" w:rsidRP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«строительство объектов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7627" w:rsidRP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социальной сферы (науки, культуры, спорта, народного образования,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7627" w:rsidRP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здравоохранения, торговли)»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276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2,5%</w:t>
      </w:r>
      <w:r w:rsidR="005316B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AA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BD3" w:rsidRDefault="00DE1BD3">
      <w:pPr>
        <w:spacing w:after="0" w:line="240" w:lineRule="auto"/>
      </w:pPr>
      <w:r>
        <w:separator/>
      </w:r>
    </w:p>
  </w:endnote>
  <w:endnote w:type="continuationSeparator" w:id="0">
    <w:p w:rsidR="00DE1BD3" w:rsidRDefault="00DE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BD3" w:rsidRDefault="00DE1BD3">
      <w:pPr>
        <w:spacing w:after="0" w:line="240" w:lineRule="auto"/>
      </w:pPr>
      <w:r>
        <w:separator/>
      </w:r>
    </w:p>
  </w:footnote>
  <w:footnote w:type="continuationSeparator" w:id="0">
    <w:p w:rsidR="00DE1BD3" w:rsidRDefault="00DE1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05"/>
    <w:rsid w:val="00027627"/>
    <w:rsid w:val="005316B8"/>
    <w:rsid w:val="00AA0105"/>
    <w:rsid w:val="00D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E9BB"/>
  <w15:docId w15:val="{B6B10F29-0649-41A3-8DB2-2341BB00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levchenkoid</dc:creator>
  <cp:lastModifiedBy>user</cp:lastModifiedBy>
  <cp:revision>2</cp:revision>
  <dcterms:created xsi:type="dcterms:W3CDTF">2026-05-22T13:35:00Z</dcterms:created>
  <dcterms:modified xsi:type="dcterms:W3CDTF">2026-05-22T13:35:00Z</dcterms:modified>
</cp:coreProperties>
</file>